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6399" w14:textId="77777777" w:rsidR="0021440F" w:rsidRDefault="00293BDC">
      <w:pPr>
        <w:pStyle w:val="Heading1"/>
      </w:pPr>
      <w:bookmarkStart w:id="0" w:name="annual-report-oslo-2024-to-riga-2025"/>
      <w:r>
        <w:t>Annual report, Oslo 2024 to Riga 2025</w:t>
      </w:r>
    </w:p>
    <w:p w14:paraId="02407550" w14:textId="77777777" w:rsidR="00293BDC" w:rsidRPr="00293BDC" w:rsidRDefault="00293BDC" w:rsidP="00293BDC">
      <w:pPr>
        <w:pStyle w:val="BodyText"/>
        <w:rPr>
          <w:lang w:val="en-GB"/>
        </w:rPr>
      </w:pPr>
    </w:p>
    <w:p w14:paraId="7DE13774" w14:textId="7936FCA4" w:rsidR="00293BDC" w:rsidRPr="00293BDC" w:rsidRDefault="00293BDC" w:rsidP="00293BDC">
      <w:pPr>
        <w:pStyle w:val="TOCHeading"/>
        <w:rPr>
          <w:sz w:val="32"/>
          <w:szCs w:val="32"/>
          <w:lang w:val="en-GB"/>
        </w:rPr>
      </w:pPr>
      <w:r w:rsidRPr="00293BDC">
        <w:rPr>
          <w:sz w:val="32"/>
          <w:szCs w:val="32"/>
          <w:lang w:val="en-GB"/>
        </w:rPr>
        <w:t xml:space="preserve">Board </w:t>
      </w:r>
    </w:p>
    <w:p w14:paraId="6B811ACE" w14:textId="55154FE9" w:rsidR="00293BDC" w:rsidRPr="00293BDC" w:rsidRDefault="00293BDC" w:rsidP="00293BDC">
      <w:pPr>
        <w:pStyle w:val="BodyText"/>
      </w:pPr>
      <w:proofErr w:type="spellStart"/>
      <w:r w:rsidRPr="00293BDC">
        <w:rPr>
          <w:lang w:val="en-GB"/>
        </w:rPr>
        <w:t>NordAN</w:t>
      </w:r>
      <w:proofErr w:type="spellEnd"/>
      <w:r w:rsidRPr="00293BDC">
        <w:rPr>
          <w:lang w:val="en-GB"/>
        </w:rPr>
        <w:t xml:space="preserve"> president – Mariann Skar </w:t>
      </w:r>
      <w:r>
        <w:rPr>
          <w:lang w:val="en-GB"/>
        </w:rPr>
        <w:br/>
      </w:r>
      <w:r w:rsidRPr="00293BDC">
        <w:rPr>
          <w:lang w:val="en-GB"/>
        </w:rPr>
        <w:t xml:space="preserve">Board members: </w:t>
      </w:r>
      <w:r>
        <w:rPr>
          <w:lang w:val="en-GB"/>
        </w:rPr>
        <w:br/>
      </w:r>
      <w:r w:rsidRPr="00293BDC">
        <w:rPr>
          <w:lang w:val="en-GB"/>
        </w:rPr>
        <w:t>Denmark –</w:t>
      </w:r>
      <w:r>
        <w:rPr>
          <w:lang w:val="en-GB"/>
        </w:rPr>
        <w:t xml:space="preserve"> </w:t>
      </w:r>
      <w:r w:rsidRPr="00293BDC">
        <w:rPr>
          <w:lang w:val="en-GB"/>
        </w:rPr>
        <w:t>Morten Skov Mogensen</w:t>
      </w:r>
      <w:r>
        <w:rPr>
          <w:lang w:val="en-GB"/>
        </w:rPr>
        <w:br/>
      </w:r>
      <w:r w:rsidRPr="00293BDC">
        <w:rPr>
          <w:lang w:val="en-GB"/>
        </w:rPr>
        <w:t xml:space="preserve">Norway – Stig Erik Sørheim </w:t>
      </w:r>
      <w:r>
        <w:rPr>
          <w:lang w:val="en-GB"/>
        </w:rPr>
        <w:br/>
      </w:r>
      <w:r w:rsidRPr="00293BDC">
        <w:rPr>
          <w:lang w:val="en-GB"/>
        </w:rPr>
        <w:t xml:space="preserve">Finland – Juha Mikkonen </w:t>
      </w:r>
      <w:r>
        <w:rPr>
          <w:lang w:val="en-GB"/>
        </w:rPr>
        <w:br/>
      </w:r>
      <w:r w:rsidRPr="00293BDC">
        <w:rPr>
          <w:lang w:val="en-GB"/>
        </w:rPr>
        <w:t xml:space="preserve">Iceland - Aðalsteinn Gunnarsson </w:t>
      </w:r>
      <w:r>
        <w:rPr>
          <w:lang w:val="en-GB"/>
        </w:rPr>
        <w:br/>
      </w:r>
      <w:r w:rsidRPr="00293BDC">
        <w:rPr>
          <w:lang w:val="en-GB"/>
        </w:rPr>
        <w:t xml:space="preserve">Sweden – Peter Moilanen </w:t>
      </w:r>
      <w:r>
        <w:rPr>
          <w:lang w:val="en-GB"/>
        </w:rPr>
        <w:br/>
      </w:r>
      <w:r w:rsidRPr="00293BDC">
        <w:rPr>
          <w:lang w:val="en-GB"/>
        </w:rPr>
        <w:t xml:space="preserve">Estonia – Viljam Borissenko </w:t>
      </w:r>
      <w:r>
        <w:rPr>
          <w:lang w:val="en-GB"/>
        </w:rPr>
        <w:br/>
      </w:r>
      <w:r w:rsidRPr="00293BDC">
        <w:rPr>
          <w:lang w:val="en-GB"/>
        </w:rPr>
        <w:t xml:space="preserve">Lithuania – </w:t>
      </w:r>
      <w:proofErr w:type="spellStart"/>
      <w:r w:rsidRPr="00293BDC">
        <w:rPr>
          <w:lang w:val="en-GB"/>
        </w:rPr>
        <w:t>Nijole</w:t>
      </w:r>
      <w:proofErr w:type="spellEnd"/>
      <w:r w:rsidRPr="00293BDC">
        <w:rPr>
          <w:lang w:val="en-GB"/>
        </w:rPr>
        <w:t xml:space="preserve"> </w:t>
      </w:r>
      <w:proofErr w:type="spellStart"/>
      <w:r w:rsidRPr="00293BDC">
        <w:rPr>
          <w:lang w:val="en-GB"/>
        </w:rPr>
        <w:t>Gostautaite</w:t>
      </w:r>
      <w:proofErr w:type="spellEnd"/>
      <w:r w:rsidRPr="00293BDC">
        <w:rPr>
          <w:lang w:val="en-GB"/>
        </w:rPr>
        <w:t xml:space="preserve"> Midttun </w:t>
      </w:r>
      <w:r>
        <w:rPr>
          <w:lang w:val="en-GB"/>
        </w:rPr>
        <w:br/>
      </w:r>
      <w:r w:rsidRPr="00293BDC">
        <w:rPr>
          <w:lang w:val="en-GB"/>
        </w:rPr>
        <w:t>Faroe Islands - Edva Jacobsen</w:t>
      </w:r>
      <w:r>
        <w:rPr>
          <w:lang w:val="en-GB"/>
        </w:rPr>
        <w:br/>
        <w:t xml:space="preserve">Latvia – </w:t>
      </w:r>
      <w:proofErr w:type="spellStart"/>
      <w:r>
        <w:rPr>
          <w:lang w:val="en-GB"/>
        </w:rPr>
        <w:t>Almers</w:t>
      </w:r>
      <w:proofErr w:type="spellEnd"/>
      <w:r>
        <w:rPr>
          <w:lang w:val="en-GB"/>
        </w:rPr>
        <w:t xml:space="preserve"> </w:t>
      </w:r>
      <w:proofErr w:type="spellStart"/>
      <w:r>
        <w:rPr>
          <w:lang w:val="en-GB"/>
        </w:rPr>
        <w:t>Ludviks</w:t>
      </w:r>
      <w:proofErr w:type="spellEnd"/>
    </w:p>
    <w:p w14:paraId="6640EFB9" w14:textId="39964ED1" w:rsidR="0021440F" w:rsidRDefault="00DE2153">
      <w:pPr>
        <w:pStyle w:val="Heading2"/>
      </w:pPr>
      <w:bookmarkStart w:id="1" w:name="overview"/>
      <w:r>
        <w:t>O</w:t>
      </w:r>
      <w:r w:rsidR="00293BDC">
        <w:t>verview</w:t>
      </w:r>
    </w:p>
    <w:p w14:paraId="643971E2" w14:textId="77777777" w:rsidR="0021440F" w:rsidRDefault="00293BDC">
      <w:pPr>
        <w:pStyle w:val="FirstParagraph"/>
      </w:pPr>
      <w:r>
        <w:t>This report covers the period from the Oslo conference and General Assembly in November 2024 through preparations for the Riga conference in November 2025. It summarises governance, programme work, advocacy, partnerships, and communications. Highlights include a successful Stockholm Open Day with a focused board meeting, progress on ALCINEUR and new research outputs, an expanded role in EU drug policy forums, the Elders letter initiative, and continued work on transparency around WHO dialogue with the alcoh</w:t>
      </w:r>
      <w:r>
        <w:t>ol industry.</w:t>
      </w:r>
    </w:p>
    <w:p w14:paraId="0AD2D79A" w14:textId="6717860F" w:rsidR="0021440F" w:rsidRDefault="00DE2153">
      <w:pPr>
        <w:pStyle w:val="Heading2"/>
      </w:pPr>
      <w:bookmarkStart w:id="2" w:name="board-and-governance"/>
      <w:bookmarkEnd w:id="1"/>
      <w:r>
        <w:t>B</w:t>
      </w:r>
      <w:r w:rsidR="00293BDC">
        <w:t>oard and governance</w:t>
      </w:r>
    </w:p>
    <w:p w14:paraId="55A5E305" w14:textId="56C49780" w:rsidR="0021440F" w:rsidRDefault="00293BDC">
      <w:pPr>
        <w:pStyle w:val="FirstParagraph"/>
      </w:pPr>
      <w:r>
        <w:t xml:space="preserve">We held the Stockholm Open Day and an in‑person board meeting on 6–7 February 2025, complemented by Zoom board meetings scheduled for 10 June and </w:t>
      </w:r>
      <w:r w:rsidR="00DE2153">
        <w:t>16</w:t>
      </w:r>
      <w:r>
        <w:t xml:space="preserve"> September. The Riga conference is planned for 13–14 November, with a shorter board meeting on 14 November. Minutes and weekly Monday reports continued to inform decisions and track delivery.</w:t>
      </w:r>
    </w:p>
    <w:p w14:paraId="580319DF" w14:textId="36CD8C14" w:rsidR="0021440F" w:rsidRDefault="00DE2153">
      <w:pPr>
        <w:pStyle w:val="Heading2"/>
      </w:pPr>
      <w:bookmarkStart w:id="3" w:name="conferences-and-events"/>
      <w:bookmarkEnd w:id="2"/>
      <w:r>
        <w:t>C</w:t>
      </w:r>
      <w:r w:rsidR="00293BDC">
        <w:t>onferences and events</w:t>
      </w:r>
    </w:p>
    <w:p w14:paraId="0A045ECD" w14:textId="0696952C" w:rsidR="0021440F" w:rsidRDefault="00DE2153">
      <w:pPr>
        <w:pStyle w:val="Heading3"/>
      </w:pPr>
      <w:bookmarkStart w:id="4" w:name="oslo-2024-followup"/>
      <w:r>
        <w:t>O</w:t>
      </w:r>
      <w:r w:rsidR="00293BDC">
        <w:t>slo 2024 follow‑up</w:t>
      </w:r>
    </w:p>
    <w:p w14:paraId="64B58954" w14:textId="77777777" w:rsidR="0021440F" w:rsidRDefault="00293BDC">
      <w:pPr>
        <w:pStyle w:val="FirstParagraph"/>
      </w:pPr>
      <w:r>
        <w:t>Post‑conference, we compiled and shared all Oslo presentations and a 45‑minute edited video of the “In Conversation” session with our Elders. We prepared an article for PopNAD on Nordic cooperation and key themes from the discussions.</w:t>
      </w:r>
    </w:p>
    <w:p w14:paraId="236257D3" w14:textId="52F46BBA" w:rsidR="0021440F" w:rsidRDefault="00DE2153">
      <w:pPr>
        <w:pStyle w:val="Heading3"/>
      </w:pPr>
      <w:bookmarkStart w:id="5" w:name="X9cc52f7e2d75e4ef6403f7df73c8bdea80b3ccf"/>
      <w:bookmarkEnd w:id="4"/>
      <w:r>
        <w:lastRenderedPageBreak/>
        <w:t>S</w:t>
      </w:r>
      <w:r w:rsidR="00293BDC">
        <w:t>tockholm open day and board meeting, 6–7 february 2025</w:t>
      </w:r>
    </w:p>
    <w:p w14:paraId="0ECFFA3E" w14:textId="26F49322" w:rsidR="0021440F" w:rsidRDefault="00293BDC">
      <w:pPr>
        <w:pStyle w:val="FirstParagraph"/>
      </w:pPr>
      <w:r>
        <w:t xml:space="preserve">Open Day took place at NDPHS in Stockholm, followed by the board meeting at NBV. The programme focused on availability issues in Sweden and Finland, as well as Nordic cooperation. </w:t>
      </w:r>
      <w:r w:rsidR="00DE2153">
        <w:t>S</w:t>
      </w:r>
      <w:r>
        <w:t xml:space="preserve">peakers included Emil Juslin (IOGT‑NTO policy lead) and Ülla‑Karin Nurm (NDPHS Secretary General), </w:t>
      </w:r>
      <w:r w:rsidR="00DE2153">
        <w:t xml:space="preserve">but also our honorary president </w:t>
      </w:r>
      <w:r>
        <w:t>Gabriel Romanus. Feedback from participants was very positive, and the event strengthened ties with NDPHS and Nordic Welfare Centre for future cooperation.</w:t>
      </w:r>
    </w:p>
    <w:p w14:paraId="5BBFE607" w14:textId="69B830A6" w:rsidR="0021440F" w:rsidRDefault="00DE2153">
      <w:pPr>
        <w:pStyle w:val="Heading3"/>
      </w:pPr>
      <w:bookmarkStart w:id="6" w:name="riga-2025-preparations"/>
      <w:bookmarkEnd w:id="5"/>
      <w:r>
        <w:t>R</w:t>
      </w:r>
      <w:r w:rsidR="00293BDC">
        <w:t>iga 2025 preparations</w:t>
      </w:r>
    </w:p>
    <w:p w14:paraId="6BE87BA6" w14:textId="5FEC0F81" w:rsidR="0021440F" w:rsidRDefault="00293BDC">
      <w:pPr>
        <w:pStyle w:val="FirstParagraph"/>
      </w:pPr>
      <w:r>
        <w:t>Following venue scouting and partner outreach, the conference will take place on 13–14 November at the Wellton Riverside Spa Hotel. The Latvian Ministry of Health has</w:t>
      </w:r>
      <w:r w:rsidR="00DE2153">
        <w:t xml:space="preserve"> been an important partner and </w:t>
      </w:r>
      <w:r>
        <w:t>contribute</w:t>
      </w:r>
      <w:r w:rsidR="00DE2153">
        <w:t>d</w:t>
      </w:r>
      <w:r>
        <w:t xml:space="preserve"> speakers, and we have invited a senior official to deliver the welcome. </w:t>
      </w:r>
      <w:r>
        <w:t>The programme will include a resilience‑focused session linking alcohol and drug harm, mental health, and the war in Ukraine</w:t>
      </w:r>
      <w:r w:rsidR="00DE2153">
        <w:t xml:space="preserve"> a different kind of approach to the work of WHO, a traditional session on drug policies and updates from the member </w:t>
      </w:r>
      <w:proofErr w:type="spellStart"/>
      <w:r w:rsidR="00DE2153">
        <w:t>organisations</w:t>
      </w:r>
      <w:proofErr w:type="spellEnd"/>
      <w:r w:rsidR="00DE2153">
        <w:t>.</w:t>
      </w:r>
      <w:r>
        <w:t xml:space="preserve"> </w:t>
      </w:r>
    </w:p>
    <w:p w14:paraId="50DC78BA" w14:textId="07283045" w:rsidR="0021440F" w:rsidRDefault="00DE2153">
      <w:pPr>
        <w:pStyle w:val="Heading2"/>
      </w:pPr>
      <w:bookmarkStart w:id="7" w:name="projects-and-research"/>
      <w:bookmarkEnd w:id="6"/>
      <w:bookmarkEnd w:id="3"/>
      <w:r>
        <w:t>P</w:t>
      </w:r>
      <w:r w:rsidR="00293BDC">
        <w:t>rojects and research</w:t>
      </w:r>
    </w:p>
    <w:p w14:paraId="3510674A" w14:textId="77777777" w:rsidR="0021440F" w:rsidRDefault="00293BDC">
      <w:pPr>
        <w:pStyle w:val="Heading3"/>
      </w:pPr>
      <w:bookmarkStart w:id="8" w:name="alcineur"/>
      <w:r>
        <w:t>ALCINEUR</w:t>
      </w:r>
    </w:p>
    <w:p w14:paraId="5157550D" w14:textId="3BB8E8EF" w:rsidR="0021440F" w:rsidRDefault="00293BDC">
      <w:pPr>
        <w:pStyle w:val="FirstParagraph"/>
      </w:pPr>
      <w:r>
        <w:t xml:space="preserve">Work progressed with country ratings and new case studies, and further publication plans for 2025. An update paper on Nordic </w:t>
      </w:r>
      <w:r w:rsidR="00DE2153">
        <w:t xml:space="preserve">and Baltic </w:t>
      </w:r>
      <w:r>
        <w:t xml:space="preserve">policy developments for 2020–2024 </w:t>
      </w:r>
      <w:r w:rsidR="00DE2153">
        <w:t>was done</w:t>
      </w:r>
      <w:r>
        <w:t>, with a view to publication alongside consumption data. Project invoicing proceeded as planned.</w:t>
      </w:r>
      <w:r w:rsidR="00DE2153">
        <w:t xml:space="preserve"> Work continues until end of 2025.</w:t>
      </w:r>
    </w:p>
    <w:p w14:paraId="1E66C564" w14:textId="31DA1436" w:rsidR="0021440F" w:rsidRDefault="00DE2153">
      <w:pPr>
        <w:pStyle w:val="Heading3"/>
      </w:pPr>
      <w:bookmarkStart w:id="9" w:name="transparency-in-whoindustry-dialogue"/>
      <w:bookmarkEnd w:id="8"/>
      <w:r>
        <w:t>T</w:t>
      </w:r>
      <w:r w:rsidR="00293BDC">
        <w:t>ransparency in WHO–industry dialogue</w:t>
      </w:r>
    </w:p>
    <w:p w14:paraId="67AF55DB" w14:textId="58486BCE" w:rsidR="0021440F" w:rsidRDefault="00293BDC">
      <w:pPr>
        <w:pStyle w:val="FirstParagraph"/>
      </w:pPr>
      <w:r>
        <w:t xml:space="preserve">We continued </w:t>
      </w:r>
      <w:r>
        <w:t xml:space="preserve">work on WHO’s dialogue with the alcohol industry, including </w:t>
      </w:r>
      <w:r>
        <w:t xml:space="preserve">exchanges with Member State representatives and WHO experts, as well as participation in WHO/Europe’s civil society touchpoints. </w:t>
      </w:r>
      <w:r w:rsidR="00DE2153">
        <w:t xml:space="preserve">We ended the projects official part with a media campaign on the importance of transparency in alcohol policy. </w:t>
      </w:r>
    </w:p>
    <w:p w14:paraId="4C7DAC2B" w14:textId="16EB3A3A" w:rsidR="0021440F" w:rsidRDefault="00401C9D">
      <w:pPr>
        <w:pStyle w:val="Heading3"/>
      </w:pPr>
      <w:bookmarkStart w:id="10" w:name="elders-letter-initiative"/>
      <w:bookmarkEnd w:id="9"/>
      <w:r>
        <w:t>E</w:t>
      </w:r>
      <w:r w:rsidR="00293BDC">
        <w:t>lders letter initiative</w:t>
      </w:r>
    </w:p>
    <w:p w14:paraId="0C42BFE5" w14:textId="510B6FC5" w:rsidR="0021440F" w:rsidRDefault="00293BDC">
      <w:pPr>
        <w:pStyle w:val="FirstParagraph"/>
      </w:pPr>
      <w:r>
        <w:t xml:space="preserve">NordAN initiated and coordinated a joint letter by senior Nordic and Baltic public health leaders, highlighting the value of the Nordic model and the need to resist commercial pressure. The text was finalised with the board, outreach brought confirmations across all countries, and early placements appeared in Icelandic and Swedish media. The letter sparked constructive debate in </w:t>
      </w:r>
      <w:proofErr w:type="spellStart"/>
      <w:r>
        <w:t>Alkohol</w:t>
      </w:r>
      <w:proofErr w:type="spellEnd"/>
      <w:r>
        <w:t xml:space="preserve"> &amp; </w:t>
      </w:r>
      <w:proofErr w:type="spellStart"/>
      <w:r>
        <w:t>Narkotika</w:t>
      </w:r>
      <w:proofErr w:type="spellEnd"/>
      <w:r w:rsidR="00401C9D">
        <w:t>. Letter was sent to relevant ministries and key policymakers in different countries.</w:t>
      </w:r>
    </w:p>
    <w:p w14:paraId="77C87899" w14:textId="49AC5117" w:rsidR="0021440F" w:rsidRDefault="00293BDC">
      <w:pPr>
        <w:pStyle w:val="Heading3"/>
      </w:pPr>
      <w:bookmarkStart w:id="11" w:name="eu-civil-society-forum-on-drugs"/>
      <w:bookmarkEnd w:id="10"/>
      <w:r>
        <w:lastRenderedPageBreak/>
        <w:t>EU civil society forum on drugs</w:t>
      </w:r>
      <w:r w:rsidR="00401C9D">
        <w:t xml:space="preserve"> and </w:t>
      </w:r>
      <w:proofErr w:type="spellStart"/>
      <w:r w:rsidR="00401C9D">
        <w:t>NordAN</w:t>
      </w:r>
      <w:proofErr w:type="spellEnd"/>
      <w:r w:rsidR="00401C9D">
        <w:t xml:space="preserve"> drug network</w:t>
      </w:r>
    </w:p>
    <w:p w14:paraId="2648FFCF" w14:textId="16C0FDDF" w:rsidR="00401C9D" w:rsidRDefault="00293BDC">
      <w:pPr>
        <w:pStyle w:val="FirstParagraph"/>
      </w:pPr>
      <w:r>
        <w:t xml:space="preserve">NordAN was accepted as a member for the 2024–2027 term. The first plenary took place in December 2024, and we engaged in thematic working groups with scope to involve different experts from our network. </w:t>
      </w:r>
      <w:r w:rsidR="00401C9D" w:rsidRPr="00401C9D">
        <w:t xml:space="preserve">On 9 September 2025, Peter Moilanen represented </w:t>
      </w:r>
      <w:proofErr w:type="spellStart"/>
      <w:r w:rsidR="00401C9D" w:rsidRPr="00401C9D">
        <w:t>NordAN</w:t>
      </w:r>
      <w:proofErr w:type="spellEnd"/>
      <w:r w:rsidR="00401C9D" w:rsidRPr="00401C9D">
        <w:t xml:space="preserve"> at the Civil Society Forum on Drugs meeting in Brussels</w:t>
      </w:r>
      <w:r w:rsidR="00401C9D">
        <w:t xml:space="preserve"> where the new EU´s new drug strategy was discussed</w:t>
      </w:r>
      <w:r w:rsidR="00401C9D" w:rsidRPr="00401C9D">
        <w:t>. Stig Erik Sørheim participated representing EURAD.</w:t>
      </w:r>
    </w:p>
    <w:p w14:paraId="60C77F90" w14:textId="3ECBAA17" w:rsidR="0021440F" w:rsidRDefault="00293BDC">
      <w:pPr>
        <w:pStyle w:val="FirstParagraph"/>
      </w:pPr>
      <w:r>
        <w:t xml:space="preserve">The </w:t>
      </w:r>
      <w:proofErr w:type="spellStart"/>
      <w:r>
        <w:t>NordAN</w:t>
      </w:r>
      <w:proofErr w:type="spellEnd"/>
      <w:r>
        <w:t xml:space="preserve"> drug network held its 6th meeting in December 2024 with a Vienna CND update, and the 7th meeting took place on 20 May 2025, covering Norway’s prevention and treatment reform proposal and Baltic developments.</w:t>
      </w:r>
    </w:p>
    <w:p w14:paraId="6075AC6C" w14:textId="14BA1424" w:rsidR="0021440F" w:rsidRDefault="00401C9D">
      <w:pPr>
        <w:pStyle w:val="Heading3"/>
      </w:pPr>
      <w:bookmarkStart w:id="12" w:name="advocacy-and-submissions"/>
      <w:bookmarkEnd w:id="11"/>
      <w:r>
        <w:t>A</w:t>
      </w:r>
      <w:r w:rsidR="00293BDC">
        <w:t>dvocacy and submissions</w:t>
      </w:r>
    </w:p>
    <w:p w14:paraId="1D64A7C5" w14:textId="2D9286BC" w:rsidR="0021440F" w:rsidRDefault="00293BDC">
      <w:pPr>
        <w:pStyle w:val="FirstParagraph"/>
      </w:pPr>
      <w:r>
        <w:t xml:space="preserve">We drafted and submitted comments on Finland’s alcohol law changes during the national consultation and the EU TRIS process, focusing on </w:t>
      </w:r>
      <w:r w:rsidR="00401C9D">
        <w:t xml:space="preserve">the </w:t>
      </w:r>
      <w:r>
        <w:t xml:space="preserve">protection of </w:t>
      </w:r>
      <w:proofErr w:type="spellStart"/>
      <w:r>
        <w:t>Alko’s</w:t>
      </w:r>
      <w:proofErr w:type="spellEnd"/>
      <w:r>
        <w:t xml:space="preserve"> monopoly role, online marketing risks, and enforceability of last‑mile delivery rules. We prepared a contribution on Slovenia’s cannabis TRIS notification focusing on EU law, public health, and cross‑border impacts. We co‑signed the IOGT‑NTO and EPHA position paper on the EU Wine Package.</w:t>
      </w:r>
    </w:p>
    <w:p w14:paraId="3984DFB2" w14:textId="7EFEB293" w:rsidR="0021440F" w:rsidRDefault="00401C9D">
      <w:pPr>
        <w:pStyle w:val="Heading3"/>
      </w:pPr>
      <w:bookmarkStart w:id="13" w:name="focal-policy-analyses-and-outputs"/>
      <w:bookmarkEnd w:id="12"/>
      <w:r>
        <w:t>F</w:t>
      </w:r>
      <w:r w:rsidR="00293BDC">
        <w:t>ocal policy analyses and outputs</w:t>
      </w:r>
    </w:p>
    <w:p w14:paraId="3986932B" w14:textId="4DA2E073" w:rsidR="0021440F" w:rsidRDefault="00293BDC">
      <w:pPr>
        <w:pStyle w:val="FirstParagraph"/>
      </w:pPr>
      <w:r>
        <w:t xml:space="preserve">We </w:t>
      </w:r>
      <w:r>
        <w:t>continued NAPR‑derived country policy pages on nordan.org, consolidating each country into a single, continuously updated page. We produced targeted background notes on topics such as Sweden’s public drinking regulations, and authored an article on Nordic cooperation for PopNAD.</w:t>
      </w:r>
    </w:p>
    <w:p w14:paraId="7AC8BAD9" w14:textId="7EAEA639" w:rsidR="0021440F" w:rsidRDefault="001843C2">
      <w:pPr>
        <w:pStyle w:val="Heading2"/>
      </w:pPr>
      <w:bookmarkStart w:id="14" w:name="partnerships-and-external-engagement"/>
      <w:bookmarkEnd w:id="13"/>
      <w:bookmarkEnd w:id="7"/>
      <w:r>
        <w:t>P</w:t>
      </w:r>
      <w:r w:rsidR="00293BDC">
        <w:t>artnerships and external engagement</w:t>
      </w:r>
    </w:p>
    <w:p w14:paraId="01B51C0F" w14:textId="5D1A80A9" w:rsidR="0021440F" w:rsidRDefault="00293BDC">
      <w:pPr>
        <w:pStyle w:val="FirstParagraph"/>
      </w:pPr>
      <w:r>
        <w:t xml:space="preserve">We deepened cooperation with NDPHS and </w:t>
      </w:r>
      <w:r w:rsidR="001843C2">
        <w:t xml:space="preserve">our Swedish members and partners </w:t>
      </w:r>
      <w:r>
        <w:t>through the Stockholm event</w:t>
      </w:r>
      <w:r>
        <w:t xml:space="preserve"> and follow‑up. We engaged WHO/Europe and Member States on transparency and industry dialogue. We invited the WHO Ukraine Country Office to Riga to open a longer‑term track on Ukraine partnerships encouraged by the Nordic Council of Ministers. We strengthened contacts with Latvian authorities and Riga City.</w:t>
      </w:r>
    </w:p>
    <w:p w14:paraId="73529B3D" w14:textId="679B0CC4" w:rsidR="001843C2" w:rsidRPr="00293BDC" w:rsidRDefault="00293BDC" w:rsidP="00293BDC">
      <w:pPr>
        <w:pStyle w:val="Heading1"/>
        <w:rPr>
          <w:sz w:val="32"/>
          <w:szCs w:val="32"/>
        </w:rPr>
      </w:pPr>
      <w:r w:rsidRPr="00293BDC">
        <w:rPr>
          <w:sz w:val="32"/>
          <w:szCs w:val="32"/>
        </w:rPr>
        <w:t>M</w:t>
      </w:r>
      <w:r w:rsidR="001843C2" w:rsidRPr="00293BDC">
        <w:rPr>
          <w:sz w:val="32"/>
          <w:szCs w:val="32"/>
        </w:rPr>
        <w:t>ember collaboration projects</w:t>
      </w:r>
    </w:p>
    <w:p w14:paraId="3C50EA23" w14:textId="649858D8" w:rsidR="001843C2" w:rsidRPr="001843C2" w:rsidRDefault="001843C2" w:rsidP="001843C2">
      <w:pPr>
        <w:pStyle w:val="BodyText"/>
      </w:pPr>
      <w:r>
        <w:t xml:space="preserve">In cooperation with NPC, Actis and </w:t>
      </w:r>
      <w:proofErr w:type="spellStart"/>
      <w:r>
        <w:t>Drugnews</w:t>
      </w:r>
      <w:proofErr w:type="spellEnd"/>
      <w:r>
        <w:t>, we prepared drug policy reports on the situation in the Baltic countries and an analysis of ideological aspects in drug policy using European and global examples. At the request of EHYT, we prepared an overview of health tax earmarking practices and cases in Europe and a scan of global experience.</w:t>
      </w:r>
    </w:p>
    <w:p w14:paraId="1C021D6E" w14:textId="4254EA58" w:rsidR="0021440F" w:rsidRDefault="001843C2">
      <w:pPr>
        <w:pStyle w:val="Heading2"/>
      </w:pPr>
      <w:bookmarkStart w:id="15" w:name="communications-and-platforms"/>
      <w:bookmarkEnd w:id="14"/>
      <w:r>
        <w:lastRenderedPageBreak/>
        <w:t>C</w:t>
      </w:r>
      <w:r w:rsidR="00293BDC">
        <w:t>ommunications and platforms</w:t>
      </w:r>
    </w:p>
    <w:p w14:paraId="182FBE5C" w14:textId="77777777" w:rsidR="0021440F" w:rsidRDefault="00293BDC">
      <w:pPr>
        <w:pStyle w:val="FirstParagraph"/>
      </w:pPr>
      <w:r>
        <w:t>We upgraded our mailing to Mailchimp for member updates. The Alcohol Awareness blog featured 236 posts in 2024 and passed 2,750 total posts, with more than 31,000 views for the year. We maintained weekly newsletters, twice‑monthly FASD updates, and ran regular updates across nordan.org, AlcoholCampaign.org, and AlcoholAndCancer.eu.</w:t>
      </w:r>
    </w:p>
    <w:p w14:paraId="7AA69F24" w14:textId="5AC5AD5C" w:rsidR="0021440F" w:rsidRDefault="001843C2">
      <w:pPr>
        <w:pStyle w:val="Heading2"/>
      </w:pPr>
      <w:bookmarkStart w:id="16" w:name="fasd-cooperation"/>
      <w:bookmarkEnd w:id="15"/>
      <w:r>
        <w:t>FASD</w:t>
      </w:r>
      <w:r w:rsidR="00293BDC">
        <w:t xml:space="preserve"> cooperation</w:t>
      </w:r>
    </w:p>
    <w:p w14:paraId="65343278" w14:textId="115B9257" w:rsidR="0021440F" w:rsidRDefault="00293BDC">
      <w:pPr>
        <w:pStyle w:val="FirstParagraph"/>
      </w:pPr>
      <w:r>
        <w:t xml:space="preserve">A small NWC‑funded Nordic‑Baltic FASD cooperation led by Fremtidens Børn launched, with partners from Norway, Sweden, </w:t>
      </w:r>
      <w:r>
        <w:t>Finland</w:t>
      </w:r>
      <w:r w:rsidR="001843C2">
        <w:t xml:space="preserve"> and Estonia</w:t>
      </w:r>
      <w:r>
        <w:t>. The first meeting is scheduled in Tallinn on 7–8 December to share practice and improve networking with a clear alcohol harm‑to‑others framing for policy.</w:t>
      </w:r>
    </w:p>
    <w:p w14:paraId="1E811251" w14:textId="3BB9E2BB" w:rsidR="0021440F" w:rsidRDefault="00293BDC">
      <w:pPr>
        <w:pStyle w:val="Heading2"/>
      </w:pPr>
      <w:bookmarkStart w:id="17" w:name="finance-and-administration"/>
      <w:bookmarkEnd w:id="16"/>
      <w:r>
        <w:t>F</w:t>
      </w:r>
      <w:r>
        <w:t>inance and administration</w:t>
      </w:r>
    </w:p>
    <w:p w14:paraId="58A87668" w14:textId="2A49C1F2" w:rsidR="0021440F" w:rsidRDefault="00293BDC">
      <w:pPr>
        <w:pStyle w:val="FirstParagraph"/>
      </w:pPr>
      <w:r>
        <w:t>We processed incoming ALCINEUR invoices and issued an agreed project invoice to Drugnews for Baltic drug situation reporting</w:t>
      </w:r>
      <w:r w:rsidR="001843C2">
        <w:t xml:space="preserve"> and to EHYT for a report on tax earmarking</w:t>
      </w:r>
      <w:r>
        <w:t>. Conference planning in Riga has followed cost‑effective options, with negotiated accommodation discounts.</w:t>
      </w:r>
    </w:p>
    <w:p w14:paraId="51D34A79" w14:textId="6C16B6E5" w:rsidR="0021440F" w:rsidRDefault="001843C2">
      <w:pPr>
        <w:pStyle w:val="Heading2"/>
      </w:pPr>
      <w:bookmarkStart w:id="18" w:name="looking-ahead-to-2026"/>
      <w:bookmarkEnd w:id="17"/>
      <w:r>
        <w:t>L</w:t>
      </w:r>
      <w:r w:rsidR="00293BDC">
        <w:t>ooking ahead to 2026</w:t>
      </w:r>
    </w:p>
    <w:p w14:paraId="27D0FF11" w14:textId="77777777" w:rsidR="00293BDC" w:rsidRDefault="00293BDC">
      <w:pPr>
        <w:pStyle w:val="FirstParagraph"/>
      </w:pPr>
      <w:r>
        <w:t xml:space="preserve">We began shaping ideas for the 2026 action plan, including options for continued Open Day events, expanded policy tracking, and funding applications such as Demos. </w:t>
      </w:r>
    </w:p>
    <w:p w14:paraId="31DCE3DE" w14:textId="76153CF8" w:rsidR="0021440F" w:rsidRDefault="00293BDC">
      <w:pPr>
        <w:pStyle w:val="FirstParagraph"/>
      </w:pPr>
      <w:r w:rsidRPr="00293BDC">
        <w:t xml:space="preserve">We are preparing the 2026 </w:t>
      </w:r>
      <w:proofErr w:type="spellStart"/>
      <w:r w:rsidRPr="00293BDC">
        <w:t>NordAN</w:t>
      </w:r>
      <w:proofErr w:type="spellEnd"/>
      <w:r w:rsidRPr="00293BDC">
        <w:t xml:space="preserve"> conference in the Faroe Islands with Blue Cross Faroe Islands and local partners. We have applied for Demos funds under the Nordic Council of Ministers to link the conference with a January 2026 to June 2027 follow up project. Focus areas include small island alcohol and drug policy, practical tools for municipalities and services, and Faroese adapted materials. Planned outputs include micro learning kits, short digital briefs and a concise policy checklist, plus a conference report. We will co design activities with national and municipal stakeholders in Tórshavn and track simple indicators for participation and reach.</w:t>
      </w:r>
    </w:p>
    <w:p w14:paraId="021E824F" w14:textId="588167B6" w:rsidR="0021440F" w:rsidRDefault="001843C2">
      <w:pPr>
        <w:pStyle w:val="Heading2"/>
      </w:pPr>
      <w:bookmarkStart w:id="19" w:name="acknowledgements"/>
      <w:bookmarkEnd w:id="18"/>
      <w:r>
        <w:t>A</w:t>
      </w:r>
      <w:r w:rsidR="00293BDC">
        <w:t>cknowledgements</w:t>
      </w:r>
    </w:p>
    <w:p w14:paraId="6779CF30" w14:textId="77777777" w:rsidR="0021440F" w:rsidRDefault="00293BDC">
      <w:pPr>
        <w:pStyle w:val="FirstParagraph"/>
      </w:pPr>
      <w:r>
        <w:t>Thank you to our members, partners, and colleagues across the region for their steady collaboration during a demanding year. Special thanks to hosts and co‑organisers in Oslo and Stockholm, and to our Latvian partners for Riga preparations.</w:t>
      </w:r>
    </w:p>
    <w:bookmarkEnd w:id="19"/>
    <w:bookmarkEnd w:id="0"/>
    <w:sectPr w:rsidR="0021440F">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160D2F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31098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0F"/>
    <w:rsid w:val="001843C2"/>
    <w:rsid w:val="0021440F"/>
    <w:rsid w:val="00293BDC"/>
    <w:rsid w:val="00401C9D"/>
    <w:rsid w:val="0060411E"/>
    <w:rsid w:val="00DE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3A1C"/>
  <w15:docId w15:val="{5F3D79BF-54A0-4959-A211-EF70F6DF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1166</Words>
  <Characters>7043</Characters>
  <Application>Microsoft Office Word</Application>
  <DocSecurity>0</DocSecurity>
  <Lines>156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 Beekmann</dc:creator>
  <cp:keywords/>
  <cp:lastModifiedBy>Lauri Beekmann</cp:lastModifiedBy>
  <cp:revision>2</cp:revision>
  <dcterms:created xsi:type="dcterms:W3CDTF">2025-10-06T04:00:00Z</dcterms:created>
  <dcterms:modified xsi:type="dcterms:W3CDTF">2025-10-06T04:00:00Z</dcterms:modified>
</cp:coreProperties>
</file>